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1. Title of module: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17AA7">
        <w:rPr>
          <w:rFonts w:ascii="Arial" w:hAnsi="Arial" w:cs="Arial"/>
          <w:b/>
          <w:sz w:val="24"/>
          <w:szCs w:val="24"/>
          <w:lang w:val="en-US"/>
        </w:rPr>
        <w:t>Chemical Nomenclature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Code module:</w:t>
      </w:r>
      <w:r w:rsidR="004506D9">
        <w:rPr>
          <w:rFonts w:ascii="Arial" w:hAnsi="Arial" w:cs="Arial"/>
          <w:sz w:val="24"/>
          <w:szCs w:val="24"/>
          <w:lang w:val="en-US"/>
        </w:rPr>
        <w:t xml:space="preserve"> </w:t>
      </w:r>
      <w:r w:rsidR="004506D9">
        <w:rPr>
          <w:rFonts w:ascii="Arial" w:hAnsi="Arial" w:cs="Arial"/>
          <w:sz w:val="24"/>
          <w:szCs w:val="24"/>
          <w:lang w:val="uk-UA"/>
        </w:rPr>
        <w:t>Х</w:t>
      </w:r>
      <w:r w:rsidR="004506D9">
        <w:rPr>
          <w:rFonts w:ascii="Arial" w:hAnsi="Arial" w:cs="Arial"/>
          <w:sz w:val="24"/>
          <w:szCs w:val="24"/>
          <w:lang w:val="en-US"/>
        </w:rPr>
        <w:t>E_6_</w:t>
      </w:r>
      <w:r w:rsidR="004506D9">
        <w:rPr>
          <w:rFonts w:ascii="Arial" w:hAnsi="Arial" w:cs="Arial"/>
          <w:sz w:val="24"/>
          <w:szCs w:val="24"/>
          <w:lang w:val="uk-UA"/>
        </w:rPr>
        <w:t>3.1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1D3A03">
        <w:rPr>
          <w:rFonts w:ascii="Arial" w:hAnsi="Arial" w:cs="Arial"/>
          <w:sz w:val="24"/>
          <w:szCs w:val="24"/>
          <w:lang w:val="uk-UA"/>
        </w:rPr>
        <w:t>2</w:t>
      </w:r>
      <w:r w:rsidR="001D3A03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_1.5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3. Module Type:</w:t>
      </w:r>
      <w:r>
        <w:rPr>
          <w:rFonts w:ascii="Arial" w:hAnsi="Arial" w:cs="Arial"/>
          <w:sz w:val="24"/>
          <w:szCs w:val="24"/>
          <w:lang w:val="en-US"/>
        </w:rPr>
        <w:t xml:space="preserve"> selective</w:t>
      </w:r>
    </w:p>
    <w:p w:rsidR="00444592" w:rsidRPr="004506D9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>4. Semester:</w:t>
      </w:r>
      <w:r w:rsidR="004506D9">
        <w:rPr>
          <w:rFonts w:ascii="Arial" w:hAnsi="Arial" w:cs="Arial"/>
          <w:sz w:val="24"/>
          <w:szCs w:val="24"/>
          <w:lang w:val="en-US"/>
        </w:rPr>
        <w:t xml:space="preserve"> </w:t>
      </w:r>
      <w:r w:rsidR="004506D9">
        <w:rPr>
          <w:rFonts w:ascii="Arial" w:hAnsi="Arial" w:cs="Arial"/>
          <w:sz w:val="24"/>
          <w:szCs w:val="24"/>
          <w:lang w:val="uk-UA"/>
        </w:rPr>
        <w:t>2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5. The volume of the module:</w:t>
      </w:r>
      <w:r>
        <w:rPr>
          <w:rFonts w:ascii="Arial" w:hAnsi="Arial" w:cs="Arial"/>
          <w:sz w:val="24"/>
          <w:szCs w:val="24"/>
          <w:lang w:val="en-US"/>
        </w:rPr>
        <w:t xml:space="preserve"> the total number of hours - </w:t>
      </w:r>
      <w:r w:rsidR="006941C9">
        <w:rPr>
          <w:rFonts w:ascii="Arial" w:hAnsi="Arial" w:cs="Arial"/>
          <w:sz w:val="24"/>
          <w:szCs w:val="24"/>
          <w:lang w:val="uk-UA"/>
        </w:rPr>
        <w:t>45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(ECTS credits - 1.5) contact hours - 16 hours (lectures - 6, laboratory classes - 10)</w:t>
      </w:r>
    </w:p>
    <w:p w:rsidR="00444592" w:rsidRPr="004E682C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>6. Lecturer: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Tsymbalyuk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Valentyna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Vasylivna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="004E682C" w:rsidRPr="004E682C">
        <w:rPr>
          <w:rFonts w:ascii="Arial" w:hAnsi="Arial" w:cs="Arial"/>
          <w:sz w:val="24"/>
          <w:szCs w:val="24"/>
          <w:lang w:val="en-GB"/>
        </w:rPr>
        <w:t>Candidate of Chemical Sciences</w:t>
      </w:r>
      <w:r w:rsidR="004E682C" w:rsidRPr="004E682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44592" w:rsidRPr="004E682C" w:rsidRDefault="00444592" w:rsidP="0044459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n-US"/>
        </w:rPr>
      </w:pPr>
      <w:r w:rsidRPr="004E682C">
        <w:rPr>
          <w:rFonts w:ascii="Arial" w:hAnsi="Arial" w:cs="Arial"/>
          <w:b/>
          <w:sz w:val="24"/>
          <w:szCs w:val="24"/>
          <w:lang w:val="en-US"/>
        </w:rPr>
        <w:t>7. Learning Outcomes: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a result of the module the student </w:t>
      </w:r>
      <w:r>
        <w:rPr>
          <w:rFonts w:ascii="Arial" w:hAnsi="Arial" w:cs="Arial"/>
          <w:b/>
          <w:sz w:val="24"/>
          <w:szCs w:val="24"/>
          <w:lang w:val="en-US"/>
        </w:rPr>
        <w:t>must:</w:t>
      </w:r>
    </w:p>
    <w:p w:rsidR="00444592" w:rsidRDefault="00444592" w:rsidP="004445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know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Fundamentals of systematic nomenclature. General rules which allow unambiguously establish systematic name compounds, based on a fixed structural formula. Principle compliance;</w:t>
      </w:r>
    </w:p>
    <w:p w:rsidR="00444592" w:rsidRDefault="00444592" w:rsidP="004445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be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able to:</w:t>
      </w:r>
      <w:r>
        <w:rPr>
          <w:rFonts w:ascii="Arial" w:hAnsi="Arial" w:cs="Arial"/>
          <w:sz w:val="24"/>
          <w:szCs w:val="24"/>
          <w:lang w:val="en-US"/>
        </w:rPr>
        <w:t xml:space="preserve"> Use systematic nomenclature.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By recording compound formula and vice versa.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call the main classes of inorganic compounds (oxides, acids, bases, salts and complex compounds). Call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 major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classes of organic compounds (alkanes, alkenes,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alkiny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aldehydes, ketones, alcohols, carboxylic acids, cyclic, heterocyclic compounds).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Method of training:</w:t>
      </w:r>
      <w:r>
        <w:rPr>
          <w:rFonts w:ascii="Arial" w:hAnsi="Arial" w:cs="Arial"/>
          <w:sz w:val="24"/>
          <w:szCs w:val="24"/>
          <w:lang w:val="en-US"/>
        </w:rPr>
        <w:t xml:space="preserve"> classroom lessons</w:t>
      </w:r>
    </w:p>
    <w:p w:rsidR="00444592" w:rsidRDefault="00444592" w:rsidP="004445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Required previous and related modules:</w:t>
      </w:r>
      <w:r>
        <w:rPr>
          <w:rFonts w:ascii="Arial" w:hAnsi="Arial" w:cs="Arial"/>
          <w:sz w:val="24"/>
          <w:szCs w:val="24"/>
          <w:lang w:val="en-US"/>
        </w:rPr>
        <w:t xml:space="preserve"> Ukrainian language (for professional purposes)</w:t>
      </w:r>
    </w:p>
    <w:p w:rsidR="00444592" w:rsidRDefault="00444592" w:rsidP="004445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10. Content of the module:</w:t>
      </w:r>
      <w:r>
        <w:rPr>
          <w:rFonts w:ascii="Arial" w:hAnsi="Arial" w:cs="Arial"/>
          <w:sz w:val="24"/>
          <w:szCs w:val="24"/>
          <w:lang w:val="en-US"/>
        </w:rPr>
        <w:t xml:space="preserve"> Basic principles of Ukrainian terminology and nomenclature.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Approaching the international terms and standards of IUPAC.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subordination terms, chemical names of the rules of Ukrainian orthography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with him. Ukrainian National Commission for chemical terminology and nomenclature.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Names of chemical elements.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Artificial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superheavy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elements and their nomenclature.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 names of simple substances.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Names of ions.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Building names oxides.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Name of the oxides by the number of rods, the number of Evans-Basset.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Nomenclature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hidroksydiv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acids.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Nomenclature salts.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Nomenclature of coordination compounds.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Nomenclature of organic compounds.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Features range of organic substances.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Principles of names of organic compounds.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Alkanes, alkenes,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alkiny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aldehydes, ketones, alcohols, carboxylic acids, cyclic, heterocyclic compounds, and peculiarities of their nomenclature.</w:t>
      </w:r>
      <w:proofErr w:type="gramEnd"/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readings:</w:t>
      </w:r>
    </w:p>
    <w:p w:rsidR="00444592" w:rsidRDefault="00444592" w:rsidP="004506D9">
      <w:pPr>
        <w:numPr>
          <w:ilvl w:val="0"/>
          <w:numId w:val="1"/>
        </w:numPr>
        <w:tabs>
          <w:tab w:val="clear" w:pos="1753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Вступ</w:t>
      </w:r>
      <w:proofErr w:type="spellEnd"/>
      <w:proofErr w:type="gram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хімічної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номенклатури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</w:rPr>
        <w:t>для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викладачів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вчителів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хімії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учнів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середніх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навчальних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закладів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>] / [</w:t>
      </w:r>
      <w:r>
        <w:rPr>
          <w:rFonts w:ascii="Arial" w:hAnsi="Arial" w:cs="Arial"/>
          <w:sz w:val="24"/>
          <w:szCs w:val="24"/>
        </w:rPr>
        <w:t>О</w:t>
      </w:r>
      <w:r w:rsidRPr="0044459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І</w:t>
      </w:r>
      <w:r w:rsidRPr="0044459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Білодід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О</w:t>
      </w:r>
      <w:r w:rsidRPr="00444592">
        <w:rPr>
          <w:rFonts w:ascii="Arial" w:hAnsi="Arial" w:cs="Arial"/>
          <w:sz w:val="24"/>
          <w:szCs w:val="24"/>
          <w:lang w:val="en-US"/>
        </w:rPr>
        <w:t>. </w:t>
      </w:r>
      <w:r>
        <w:rPr>
          <w:rFonts w:ascii="Arial" w:hAnsi="Arial" w:cs="Arial"/>
          <w:sz w:val="24"/>
          <w:szCs w:val="24"/>
        </w:rPr>
        <w:t>А</w:t>
      </w:r>
      <w:r w:rsidRPr="00444592">
        <w:rPr>
          <w:rFonts w:ascii="Arial" w:hAnsi="Arial" w:cs="Arial"/>
          <w:sz w:val="24"/>
          <w:szCs w:val="24"/>
          <w:lang w:val="en-US"/>
        </w:rPr>
        <w:t>. </w:t>
      </w:r>
      <w:r>
        <w:rPr>
          <w:rFonts w:ascii="Arial" w:hAnsi="Arial" w:cs="Arial"/>
          <w:sz w:val="24"/>
          <w:szCs w:val="24"/>
        </w:rPr>
        <w:t>Голуб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М</w:t>
      </w:r>
      <w:r w:rsidRPr="00444592">
        <w:rPr>
          <w:rFonts w:ascii="Arial" w:hAnsi="Arial" w:cs="Arial"/>
          <w:sz w:val="24"/>
          <w:szCs w:val="24"/>
          <w:lang w:val="en-US"/>
        </w:rPr>
        <w:t>. </w:t>
      </w:r>
      <w:r>
        <w:rPr>
          <w:rFonts w:ascii="Arial" w:hAnsi="Arial" w:cs="Arial"/>
          <w:sz w:val="24"/>
          <w:szCs w:val="24"/>
        </w:rPr>
        <w:t>Ю</w:t>
      </w:r>
      <w:r w:rsidRPr="00444592">
        <w:rPr>
          <w:rFonts w:ascii="Arial" w:hAnsi="Arial" w:cs="Arial"/>
          <w:sz w:val="24"/>
          <w:szCs w:val="24"/>
          <w:lang w:val="en-US"/>
        </w:rPr>
        <w:t>. </w:t>
      </w:r>
      <w:proofErr w:type="spellStart"/>
      <w:r>
        <w:rPr>
          <w:rFonts w:ascii="Arial" w:hAnsi="Arial" w:cs="Arial"/>
          <w:sz w:val="24"/>
          <w:szCs w:val="24"/>
        </w:rPr>
        <w:t>Корнілов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ін</w:t>
      </w:r>
      <w:proofErr w:type="spellEnd"/>
      <w:r w:rsidRPr="00444592">
        <w:rPr>
          <w:rFonts w:ascii="Arial" w:hAnsi="Arial" w:cs="Arial"/>
          <w:sz w:val="24"/>
          <w:szCs w:val="24"/>
          <w:lang w:val="en-US"/>
        </w:rPr>
        <w:t xml:space="preserve">.]. - </w:t>
      </w:r>
      <w:r>
        <w:rPr>
          <w:rFonts w:ascii="Arial" w:hAnsi="Arial" w:cs="Arial"/>
          <w:sz w:val="24"/>
          <w:szCs w:val="24"/>
        </w:rPr>
        <w:t>К</w:t>
      </w:r>
      <w:r w:rsidRPr="00444592">
        <w:rPr>
          <w:rFonts w:ascii="Arial" w:hAnsi="Arial" w:cs="Arial"/>
          <w:sz w:val="24"/>
          <w:szCs w:val="24"/>
          <w:lang w:val="en-US"/>
        </w:rPr>
        <w:t>.</w:t>
      </w:r>
      <w:proofErr w:type="gramStart"/>
      <w:r>
        <w:rPr>
          <w:rFonts w:ascii="Arial" w:hAnsi="Arial" w:cs="Arial"/>
          <w:sz w:val="24"/>
          <w:szCs w:val="24"/>
          <w:lang w:val="en-US"/>
        </w:rPr>
        <w:t> </w:t>
      </w:r>
      <w:r w:rsidRPr="00444592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4445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Школяр</w:t>
      </w:r>
      <w:r w:rsidRPr="00444592">
        <w:rPr>
          <w:rFonts w:ascii="Arial" w:hAnsi="Arial" w:cs="Arial"/>
          <w:sz w:val="24"/>
          <w:szCs w:val="24"/>
          <w:lang w:val="en-US"/>
        </w:rPr>
        <w:t>, 1997. – 48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с</w:t>
      </w:r>
      <w:r w:rsidRPr="0044459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44592" w:rsidRDefault="00444592" w:rsidP="004506D9">
      <w:pPr>
        <w:pStyle w:val="2"/>
        <w:numPr>
          <w:ilvl w:val="0"/>
          <w:numId w:val="1"/>
        </w:numPr>
        <w:tabs>
          <w:tab w:val="clear" w:pos="1753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Сучасна термінологія та номенклатура органічних сполук / </w:t>
      </w:r>
      <w:r>
        <w:rPr>
          <w:rFonts w:ascii="Arial" w:hAnsi="Arial" w:cs="Arial"/>
          <w:sz w:val="24"/>
          <w:szCs w:val="24"/>
          <w:lang w:val="ru-RU"/>
        </w:rPr>
        <w:t>[</w:t>
      </w: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С. Толмач</w:t>
      </w:r>
      <w:proofErr w:type="spellEnd"/>
      <w:r>
        <w:rPr>
          <w:rFonts w:ascii="Arial" w:hAnsi="Arial" w:cs="Arial"/>
          <w:sz w:val="24"/>
          <w:szCs w:val="24"/>
        </w:rPr>
        <w:t>ова, О.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Ковтун, М.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Ю.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Корнілов</w:t>
      </w:r>
      <w:r>
        <w:rPr>
          <w:rFonts w:ascii="Arial" w:hAnsi="Arial" w:cs="Arial"/>
          <w:sz w:val="24"/>
          <w:szCs w:val="24"/>
          <w:lang w:val="ru-RU"/>
        </w:rPr>
        <w:t xml:space="preserve"> та </w:t>
      </w:r>
      <w:r>
        <w:rPr>
          <w:rFonts w:ascii="Arial" w:hAnsi="Arial" w:cs="Arial"/>
          <w:sz w:val="24"/>
          <w:szCs w:val="24"/>
        </w:rPr>
        <w:t>ін.</w:t>
      </w:r>
      <w:r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Тернопіль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: Навчальна книга.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Богдан, 2008.</w:t>
      </w:r>
      <w:r>
        <w:rPr>
          <w:rFonts w:ascii="Arial" w:hAnsi="Arial" w:cs="Arial"/>
          <w:sz w:val="24"/>
          <w:szCs w:val="24"/>
          <w:lang w:val="ru-RU"/>
        </w:rPr>
        <w:t xml:space="preserve"> – 170</w:t>
      </w:r>
      <w:r>
        <w:rPr>
          <w:rFonts w:ascii="Arial" w:hAnsi="Arial" w:cs="Arial"/>
          <w:sz w:val="24"/>
          <w:szCs w:val="24"/>
          <w:lang w:val="en-US"/>
        </w:rPr>
        <w:t> c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444592" w:rsidRDefault="00444592" w:rsidP="004506D9">
      <w:pPr>
        <w:pStyle w:val="2"/>
        <w:numPr>
          <w:ilvl w:val="0"/>
          <w:numId w:val="1"/>
        </w:numPr>
        <w:tabs>
          <w:tab w:val="clear" w:pos="1753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Вступ до хімічної номенклатури</w:t>
      </w:r>
      <w:r>
        <w:rPr>
          <w:rFonts w:ascii="Arial" w:hAnsi="Arial" w:cs="Arial"/>
          <w:sz w:val="24"/>
          <w:szCs w:val="24"/>
          <w:lang w:val="ru-RU"/>
        </w:rPr>
        <w:t xml:space="preserve"> / [</w:t>
      </w:r>
      <w:proofErr w:type="spellStart"/>
      <w:r>
        <w:rPr>
          <w:rFonts w:ascii="Arial" w:hAnsi="Arial" w:cs="Arial"/>
          <w:sz w:val="24"/>
          <w:szCs w:val="24"/>
        </w:rPr>
        <w:t>О. І. Біло</w:t>
      </w:r>
      <w:proofErr w:type="spellEnd"/>
      <w:r>
        <w:rPr>
          <w:rFonts w:ascii="Arial" w:hAnsi="Arial" w:cs="Arial"/>
          <w:sz w:val="24"/>
          <w:szCs w:val="24"/>
        </w:rPr>
        <w:t xml:space="preserve">дід, </w:t>
      </w:r>
      <w:proofErr w:type="spellStart"/>
      <w:r>
        <w:rPr>
          <w:rFonts w:ascii="Arial" w:hAnsi="Arial" w:cs="Arial"/>
          <w:sz w:val="24"/>
          <w:szCs w:val="24"/>
        </w:rPr>
        <w:t>О. А. Го</w:t>
      </w:r>
      <w:proofErr w:type="spellEnd"/>
      <w:r>
        <w:rPr>
          <w:rFonts w:ascii="Arial" w:hAnsi="Arial" w:cs="Arial"/>
          <w:sz w:val="24"/>
          <w:szCs w:val="24"/>
        </w:rPr>
        <w:t>луб, А. М</w:t>
      </w:r>
      <w:r>
        <w:rPr>
          <w:rFonts w:ascii="Arial" w:hAnsi="Arial" w:cs="Arial"/>
          <w:sz w:val="24"/>
          <w:szCs w:val="24"/>
          <w:lang w:val="ru-RU"/>
        </w:rPr>
        <w:t>. </w:t>
      </w:r>
      <w:r>
        <w:rPr>
          <w:rFonts w:ascii="Arial" w:hAnsi="Arial" w:cs="Arial"/>
          <w:sz w:val="24"/>
          <w:szCs w:val="24"/>
        </w:rPr>
        <w:t xml:space="preserve">Корнілов </w:t>
      </w:r>
      <w:r>
        <w:rPr>
          <w:rFonts w:ascii="Arial" w:hAnsi="Arial" w:cs="Arial"/>
          <w:sz w:val="24"/>
          <w:szCs w:val="24"/>
          <w:lang w:val="ru-RU"/>
        </w:rPr>
        <w:t xml:space="preserve">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>
        <w:rPr>
          <w:rFonts w:ascii="Arial" w:hAnsi="Arial" w:cs="Arial"/>
          <w:sz w:val="24"/>
          <w:szCs w:val="24"/>
          <w:lang w:val="ru-RU"/>
        </w:rPr>
        <w:t>.]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К.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Школяр, 1997.</w:t>
      </w:r>
      <w:r>
        <w:rPr>
          <w:rFonts w:ascii="Arial" w:hAnsi="Arial" w:cs="Arial"/>
          <w:sz w:val="24"/>
          <w:szCs w:val="24"/>
          <w:lang w:val="ru-RU"/>
        </w:rPr>
        <w:t xml:space="preserve"> – 48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444592" w:rsidRDefault="00444592" w:rsidP="004506D9">
      <w:pPr>
        <w:pStyle w:val="2"/>
        <w:numPr>
          <w:ilvl w:val="0"/>
          <w:numId w:val="1"/>
        </w:numPr>
        <w:tabs>
          <w:tab w:val="clear" w:pos="1753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Сеге</w:t>
      </w:r>
      <w:proofErr w:type="spellEnd"/>
      <w:r>
        <w:rPr>
          <w:rFonts w:ascii="Arial" w:hAnsi="Arial" w:cs="Arial"/>
          <w:sz w:val="24"/>
          <w:szCs w:val="24"/>
        </w:rPr>
        <w:t xml:space="preserve">да А. С. Використання сучасної української хімічної термінології та номенклатури з неорганічної хімії: (Рекомендації </w:t>
      </w:r>
      <w:proofErr w:type="spellStart"/>
      <w:r>
        <w:rPr>
          <w:rFonts w:ascii="Arial" w:hAnsi="Arial" w:cs="Arial"/>
          <w:sz w:val="24"/>
          <w:szCs w:val="24"/>
        </w:rPr>
        <w:t>держстандарту</w:t>
      </w:r>
      <w:proofErr w:type="spellEnd"/>
      <w:r>
        <w:rPr>
          <w:rFonts w:ascii="Arial" w:hAnsi="Arial" w:cs="Arial"/>
          <w:sz w:val="24"/>
          <w:szCs w:val="24"/>
        </w:rPr>
        <w:t xml:space="preserve"> України) / </w:t>
      </w:r>
      <w:proofErr w:type="spellStart"/>
      <w:r>
        <w:rPr>
          <w:rFonts w:ascii="Arial" w:hAnsi="Arial" w:cs="Arial"/>
          <w:sz w:val="24"/>
          <w:szCs w:val="24"/>
        </w:rPr>
        <w:t>А. Сег</w:t>
      </w:r>
      <w:proofErr w:type="spellEnd"/>
      <w:r>
        <w:rPr>
          <w:rFonts w:ascii="Arial" w:hAnsi="Arial" w:cs="Arial"/>
          <w:sz w:val="24"/>
          <w:szCs w:val="24"/>
        </w:rPr>
        <w:t xml:space="preserve">еда, О. Голуб, </w:t>
      </w:r>
      <w:proofErr w:type="spellStart"/>
      <w:r>
        <w:rPr>
          <w:rFonts w:ascii="Arial" w:hAnsi="Arial" w:cs="Arial"/>
          <w:sz w:val="24"/>
          <w:szCs w:val="24"/>
        </w:rPr>
        <w:t>А. Стоєць</w:t>
      </w:r>
      <w:proofErr w:type="spellEnd"/>
      <w:r>
        <w:rPr>
          <w:rFonts w:ascii="Arial" w:hAnsi="Arial" w:cs="Arial"/>
          <w:sz w:val="24"/>
          <w:szCs w:val="24"/>
        </w:rPr>
        <w:t>кий. - Тернопіль : Підручники і посібники, 2005.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– 47 с. </w:t>
      </w:r>
    </w:p>
    <w:p w:rsidR="00444592" w:rsidRDefault="00444592" w:rsidP="004445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Forms and teaching methods:</w:t>
      </w:r>
      <w:r>
        <w:rPr>
          <w:rFonts w:ascii="Arial" w:hAnsi="Arial" w:cs="Arial"/>
          <w:sz w:val="24"/>
          <w:szCs w:val="24"/>
          <w:lang w:val="en-US"/>
        </w:rPr>
        <w:t xml:space="preserve"> lectures, practical classes, independent work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Methods and criteria for evaluation: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• Current control (70%): oral interviews, reports on practical work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• Summative assessment (30%, offset): testing, the control work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Ukrainian</w:t>
      </w:r>
    </w:p>
    <w:p w:rsidR="00444592" w:rsidRDefault="00444592" w:rsidP="00444592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p w:rsidR="00BE793E" w:rsidRDefault="00BE793E"/>
    <w:sectPr w:rsidR="00BE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92A"/>
    <w:multiLevelType w:val="hybridMultilevel"/>
    <w:tmpl w:val="901E48B4"/>
    <w:lvl w:ilvl="0" w:tplc="78503902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592"/>
    <w:rsid w:val="001D3A03"/>
    <w:rsid w:val="00444592"/>
    <w:rsid w:val="004506D9"/>
    <w:rsid w:val="004E682C"/>
    <w:rsid w:val="006941C9"/>
    <w:rsid w:val="00BE793E"/>
    <w:rsid w:val="00E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4592"/>
    <w:pPr>
      <w:spacing w:after="120" w:line="48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444592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dcterms:created xsi:type="dcterms:W3CDTF">2012-01-16T20:00:00Z</dcterms:created>
  <dcterms:modified xsi:type="dcterms:W3CDTF">2015-10-02T07:36:00Z</dcterms:modified>
</cp:coreProperties>
</file>